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FE" w:rsidRPr="007B2EFE" w:rsidRDefault="007B2EFE" w:rsidP="007B2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2EFE">
        <w:rPr>
          <w:rFonts w:ascii="Times New Roman" w:hAnsi="Times New Roman" w:cs="Times New Roman"/>
          <w:b/>
          <w:sz w:val="28"/>
          <w:szCs w:val="28"/>
        </w:rPr>
        <w:t>ШАГ «Гордость за Беларусь. Образование во имя будущего страны»</w:t>
      </w:r>
    </w:p>
    <w:bookmarkEnd w:id="0"/>
    <w:p w:rsidR="00DA0799" w:rsidRPr="007B2EFE" w:rsidRDefault="007B2EFE" w:rsidP="007B2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EFE">
        <w:rPr>
          <w:rFonts w:ascii="Times New Roman" w:hAnsi="Times New Roman" w:cs="Times New Roman"/>
          <w:sz w:val="28"/>
          <w:szCs w:val="28"/>
        </w:rPr>
        <w:t xml:space="preserve">23.09.2021 г. в рамках реализации информационно-образовательного проекта «Школа Активного Гражданина»  в ГУО «Гимназия № 1 г. Воложина» была проведена презентация по теме «Гордость за Беларусь. Образование во имя будущего страны». Был проведён единый день информирования, акцент был сделан на особенности системы образования в Республике Беларусь, а также на то, что </w:t>
      </w:r>
      <w:r w:rsidRPr="007B2EF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образование – это одно из главных приоритетов государственной политики нашей страны.</w:t>
      </w:r>
      <w:r w:rsidRPr="007B2EF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r w:rsidRPr="007B2EF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Не менее интересной оказалась информация о классах профессиональной направленности (педагогической, спортивно-педагогической, аграрной, военно-патриотической), условиях приема учащихся в эти классы, условиях поступления выпускников этих классов в учреждения высшего образования.</w:t>
      </w:r>
    </w:p>
    <w:sectPr w:rsidR="00DA0799" w:rsidRPr="007B2EFE" w:rsidSect="007B2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FE"/>
    <w:rsid w:val="002F0B21"/>
    <w:rsid w:val="004153D4"/>
    <w:rsid w:val="004C6444"/>
    <w:rsid w:val="007B2EFE"/>
    <w:rsid w:val="00DA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2021-12-13T14:58:00Z</dcterms:created>
  <dcterms:modified xsi:type="dcterms:W3CDTF">2021-12-13T15:05:00Z</dcterms:modified>
</cp:coreProperties>
</file>